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43" w:rsidRDefault="0014011F">
      <w:pPr>
        <w:spacing w:after="0" w:line="240" w:lineRule="auto"/>
        <w:rPr>
          <w:rFonts w:ascii="Tahoma" w:eastAsia="Tahoma" w:hAnsi="Tahoma" w:cs="Tahoma"/>
          <w:b/>
          <w:sz w:val="28"/>
        </w:rPr>
      </w:pPr>
      <w:r>
        <w:rPr>
          <w:rFonts w:ascii="Tahoma" w:eastAsia="Tahoma" w:hAnsi="Tahoma" w:cs="Tahoma"/>
          <w:b/>
          <w:sz w:val="28"/>
        </w:rPr>
        <w:t xml:space="preserve">                                                       ПРОЕКТ </w:t>
      </w:r>
    </w:p>
    <w:p w:rsidR="00BA5D43" w:rsidRDefault="00BA5D43">
      <w:pPr>
        <w:spacing w:after="200" w:line="276" w:lineRule="auto"/>
        <w:rPr>
          <w:rFonts w:ascii="Calibri" w:eastAsia="Calibri" w:hAnsi="Calibri" w:cs="Calibri"/>
        </w:rPr>
      </w:pP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АДМИНИСТРАЦИЯ  БАРБИНСКОГО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СЕЛЬСКОГО                     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ПОСЕЛЕНИЯ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КРАСНОХОЛМСКОГО РАЙОНА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ТВЕРСКОЙ ОБЛАСТИ</w:t>
      </w:r>
    </w:p>
    <w:p w:rsidR="00BA5D43" w:rsidRDefault="00BA5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BA5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ПОСТАНОВЛЕНИЕ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г.                                   д. Барбино  </w:t>
      </w:r>
      <w:r w:rsidR="0014011F">
        <w:rPr>
          <w:rFonts w:ascii="Times New Roman" w:eastAsia="Times New Roman" w:hAnsi="Times New Roman" w:cs="Times New Roman"/>
          <w:b/>
          <w:sz w:val="28"/>
        </w:rPr>
        <w:t xml:space="preserve">                            № </w:t>
      </w:r>
      <w:bookmarkStart w:id="0" w:name="_GoBack"/>
      <w:bookmarkEnd w:id="0"/>
    </w:p>
    <w:p w:rsidR="00BA5D43" w:rsidRDefault="00BA5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 утверждении Положения о сообщении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муниципальными служащими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Администрации Барбинского сельского поселения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Краснохолмского района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получении подарка в связи с протокольными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мероприятиями, служебными командировками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 другими официальными мероприятиями,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участие в которых связано с исполнением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ими служебных (должностных) обязанностей,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сдаче и оценке подарка, реализации (выкупе)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 зачислении средств, вырученных от его реализации </w:t>
      </w: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Руководствуясь Федеральным законом  от 25.12.2008 №273-ФЗ «О противодействии коррупции»,  в соответствии с постановлением Правительства Российской Федерации от 09.01.2014 №  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 (в редакции от 12.10.2015) Администрация Барбинского сельского поселения Краснохолмского района постановляет:</w:t>
      </w: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Утвердить Положение о сообщении муниципальными служащими Администрации Барбинского сельского поселения Краснохолмского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</w:t>
      </w:r>
      <w:r>
        <w:rPr>
          <w:rFonts w:ascii="Times New Roman" w:eastAsia="Times New Roman" w:hAnsi="Times New Roman" w:cs="Times New Roman"/>
          <w:sz w:val="28"/>
        </w:rPr>
        <w:lastRenderedPageBreak/>
        <w:t>обязанностей, сдаче и оценке подарка, реализации (выкупе) и зачислении средств, вырученных от его реализации (прилагается).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Признать утратившими силу: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постановление Администрации Барбинского сельского поселения Краснохолмского района от 18.02.2015 года №9 «Об утверждении Правил передачи подарков»;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постановление Администрации Барбинского сельского поселения Краснохолмского района от 01.06.2016 года № 91 «О внесении изменений в постановление №9 от 18.02.2015г «Об утверждении Правил передачи подарков, полученных муниципальными служащими администрации Барбинского сельского поселения в связи с протокольными мероприятиями, служебными командировками и другими официальными мероприятиями». 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 Настоящее постановление вступает в силу со дня его подписания и подлежит размещению на официальном сайте Администрации Краснохолмского района на странице администрации Барбинского сельского поселения.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Контроль за исполнением настоящего постановления оставляю за собой.</w:t>
      </w: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Барбинского сельского поселения                                               В.В. Перова</w:t>
      </w: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BA5D43" w:rsidRDefault="00BA5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ПОЛОЖЕНИЕ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сообщении муниципальными служащими Администрации Барбинского сельского поселения Краснохолмского района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получении подарка в связи с протокольными мероприятиями, служебными командировками и другими официальными 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мероприятиями, участие в которых связано с исполнением 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ими служебных (должностных) обязанностей, сдаче и 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оценке подарка, реализации (выкупе) и зачислении средств, </w:t>
      </w:r>
    </w:p>
    <w:p w:rsidR="00BA5D43" w:rsidRDefault="00CE0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вырученных от его реализации</w:t>
      </w:r>
    </w:p>
    <w:p w:rsidR="00BA5D43" w:rsidRDefault="00BA5D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Настоящее Положение определяет порядок сообщения муниципальными служащими Администрации Барбинского сельского поселения Краснохолмского района (далее соответственно – лица,  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 Для целей настоящего положения используются следующие понятия:</w:t>
      </w:r>
    </w:p>
    <w:p w:rsidR="00BA5D43" w:rsidRDefault="00CE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муниципальным служащим, 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муниципальным служащим,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</w:t>
      </w:r>
      <w:r>
        <w:rPr>
          <w:rFonts w:ascii="Times New Roman" w:eastAsia="Times New Roman" w:hAnsi="Times New Roman" w:cs="Times New Roman"/>
          <w:sz w:val="28"/>
        </w:rPr>
        <w:lastRenderedPageBreak/>
        <w:t>правового положения и специфику профессиональной служебной и трудовой деятельности указанных лиц.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  Муниципальные служащие </w:t>
      </w:r>
      <w:r>
        <w:rPr>
          <w:rFonts w:ascii="Times New Roman" w:eastAsia="Times New Roman" w:hAnsi="Times New Roman" w:cs="Times New Roman"/>
          <w:sz w:val="28"/>
          <w:u w:val="single"/>
        </w:rPr>
        <w:t>не вправе получать подарки</w:t>
      </w:r>
      <w:r>
        <w:rPr>
          <w:rFonts w:ascii="Times New Roman" w:eastAsia="Times New Roman" w:hAnsi="Times New Roman" w:cs="Times New Roman"/>
          <w:sz w:val="28"/>
        </w:rPr>
        <w:t xml:space="preserve"> от физических (юридических) лиц в связи с их должностным положением или исполнением ими служебных (должностных) обязанностей, </w:t>
      </w:r>
      <w:r>
        <w:rPr>
          <w:rFonts w:ascii="Times New Roman" w:eastAsia="Times New Roman" w:hAnsi="Times New Roman" w:cs="Times New Roman"/>
          <w:sz w:val="28"/>
          <w:u w:val="single"/>
        </w:rPr>
        <w:t>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Муниципальные служащие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Администрацию Барбинского сельского поселения Краснохолмского района. 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hyperlink r:id="rId4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приложению</w:t>
        </w:r>
      </w:hyperlink>
      <w:r>
        <w:rPr>
          <w:rFonts w:ascii="Times New Roman" w:eastAsia="Times New Roman" w:hAnsi="Times New Roman" w:cs="Times New Roman"/>
          <w:sz w:val="28"/>
        </w:rPr>
        <w:t xml:space="preserve"> к настоящему положению, представляется не позднее 3 рабочих дней со дня получения подарка главному специалисту  Администрации Барбинского сельского поселения Краснохолмского района (далее- материально-ответственное лицо).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невозможности подачи уведомления в сроки, указанные в 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абзацах первом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и </w:t>
      </w:r>
      <w:hyperlink r:id="rId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втором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настоящего пункта, по причине, не зависящей от лица, замещающего муниципальную должность, оно представляется не позднее следующего дня после ее устранения.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36"/>
        </w:rPr>
      </w:pPr>
      <w:r>
        <w:rPr>
          <w:rFonts w:ascii="Times New Roman" w:eastAsia="Times New Roman" w:hAnsi="Times New Roman" w:cs="Times New Roman"/>
          <w:sz w:val="28"/>
        </w:rPr>
        <w:t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приему и списанию основных средств и товарно-материальных ценностей Администрации Барбинского сельского поселения Краснохолмского района (далее- комиссия по приему и списанию основных средств и товарно-материальных ценностей).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Подарок, стоимость которого подтверждается документами и превышает 3 тыс. рублей либо стоимость которого получившим его муниципальному служащему неизвестна, сдается материально-ответственному лицу, который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8.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B050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 Комиссия по приему и списанию основных средств и товарно-материальных ценностей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11.  Муниципальные служащие, сдавшие подарок, могут его выкупить, направив на имя Главы администрации поселения соответствующее заявление не позднее двух месяцев со дня сдачи подарка.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 Комиссия по приему и списанию основных средств и товарно-материальных ценностей 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BA5D43" w:rsidRDefault="00CE0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12.1. В случае если в отношении подарка, изготовленного из драгоценных металлов и (или) драгоценных камней, не поступило от  муниципальных служащих заявление, указанное в </w:t>
      </w:r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1</w:t>
        </w:r>
      </w:hyperlink>
      <w:r>
        <w:rPr>
          <w:rFonts w:ascii="Times New Roman" w:eastAsia="Times New Roman" w:hAnsi="Times New Roman" w:cs="Times New Roman"/>
          <w:sz w:val="28"/>
        </w:rPr>
        <w:t xml:space="preserve"> 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комиссией по приему и списанию основных средств и товарно-материальных ценностей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13. Подарок, в отношении которого не поступило заявление, указанное в пункте 11 настоящего Положения, может использоваться Администрацией Барбинского сельского поселения Краснохолмского района с учетом заключения комиссии о целесообразности использования подарка для обеспечения деятельности Администрации.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14. В случае нецелесообразности использования подарка Главой администрации поселения принимается решение о реализации подарка и проведении оценки его стоимости для реализации (выкупа), осуществляемой уполномоченным муниципальным органом (подразделением) посредством проведения торгов в порядке, предусмотренном законодательством Российской Федерации.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15. Оценка стоимости подарка для реализации (выкупа), предусмотренная пунктами 12 и 14 настоящего Положения, осуществляется в соответствии с законодательством Российской Федерации об оценочной деятельности.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16. В случае если подарок не выкуплен или не реализован, Главой администрации поселения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BA5D43" w:rsidRDefault="00CE0EF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18. Средства, вырученные от реализации (выкупа) подарка, зачисляются в доход бюджета муниципального образования Барбинское сельское поселение в порядке, установленном бюджетным законодательством Российской Федерации.</w:t>
      </w:r>
    </w:p>
    <w:p w:rsidR="00BA5D43" w:rsidRDefault="00BA5D43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BA5D43">
      <w:pPr>
        <w:spacing w:after="24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Приложение</w:t>
      </w:r>
      <w:r>
        <w:rPr>
          <w:rFonts w:ascii="Times New Roman" w:eastAsia="Times New Roman" w:hAnsi="Times New Roman" w:cs="Times New Roman"/>
          <w:sz w:val="24"/>
        </w:rPr>
        <w:br/>
        <w:t>к Положению о сообщении лицами муниципальными служащими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BA5D43" w:rsidRDefault="00CE0EF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Уведомление о получении подарка</w:t>
      </w:r>
    </w:p>
    <w:p w:rsidR="00BA5D43" w:rsidRDefault="00CE0EFB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 Администрацию Барбинского с/поселения Краснохолмского района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от  </w:t>
      </w:r>
    </w:p>
    <w:p w:rsidR="00BA5D43" w:rsidRDefault="00BA5D43">
      <w:pPr>
        <w:spacing w:after="0" w:line="240" w:lineRule="auto"/>
        <w:ind w:left="5046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240" w:line="240" w:lineRule="auto"/>
        <w:ind w:left="4678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>, занимаемая должность (отчество при наличии))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4"/>
        <w:gridCol w:w="3025"/>
        <w:gridCol w:w="1774"/>
      </w:tblGrid>
      <w:tr w:rsidR="00BA5D43">
        <w:trPr>
          <w:trHeight w:val="1"/>
        </w:trPr>
        <w:tc>
          <w:tcPr>
            <w:tcW w:w="4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Уведомление о получении подарка  от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“___” __________20___г.</w:t>
            </w:r>
          </w:p>
        </w:tc>
        <w:tc>
          <w:tcPr>
            <w:tcW w:w="20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Извещаю о получении  </w:t>
      </w:r>
    </w:p>
    <w:p w:rsidR="00BA5D43" w:rsidRDefault="00CE0EFB">
      <w:pPr>
        <w:spacing w:after="0" w:line="240" w:lineRule="auto"/>
        <w:ind w:left="3005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(дата получения)</w:t>
      </w: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подарка(</w:t>
      </w:r>
      <w:proofErr w:type="spellStart"/>
      <w:r>
        <w:rPr>
          <w:rFonts w:ascii="Times New Roman" w:eastAsia="Times New Roman" w:hAnsi="Times New Roman" w:cs="Times New Roman"/>
          <w:sz w:val="28"/>
        </w:rPr>
        <w:t>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на                </w:t>
      </w:r>
    </w:p>
    <w:p w:rsidR="00BA5D43" w:rsidRDefault="00CE0EFB">
      <w:pPr>
        <w:spacing w:after="240" w:line="240" w:lineRule="auto"/>
        <w:ind w:left="163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протокольного мероприятия, служебной командировки,</w:t>
      </w:r>
      <w:r>
        <w:rPr>
          <w:rFonts w:ascii="Times New Roman" w:eastAsia="Times New Roman" w:hAnsi="Times New Roman" w:cs="Times New Roman"/>
          <w:sz w:val="20"/>
        </w:rPr>
        <w:br/>
        <w:t>другого официального мероприятия, место и дата проведения)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0"/>
        <w:gridCol w:w="3411"/>
        <w:gridCol w:w="1677"/>
        <w:gridCol w:w="1665"/>
      </w:tblGrid>
      <w:tr w:rsidR="00BA5D43">
        <w:trPr>
          <w:trHeight w:val="1"/>
        </w:trPr>
        <w:tc>
          <w:tcPr>
            <w:tcW w:w="272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>подарка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Характеристика подарка,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>его описание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Стоимость в рублях </w:t>
            </w:r>
            <w:r>
              <w:rPr>
                <w:rFonts w:ascii="Times New Roman" w:eastAsia="Times New Roman" w:hAnsi="Times New Roman" w:cs="Times New Roman"/>
                <w:sz w:val="28"/>
                <w:vertAlign w:val="superscript"/>
              </w:rPr>
              <w:t>*</w:t>
            </w:r>
          </w:p>
        </w:tc>
      </w:tr>
      <w:tr w:rsidR="00BA5D43">
        <w:trPr>
          <w:trHeight w:val="1"/>
        </w:trPr>
        <w:tc>
          <w:tcPr>
            <w:tcW w:w="2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3571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A5D43">
        <w:trPr>
          <w:trHeight w:val="1"/>
        </w:trPr>
        <w:tc>
          <w:tcPr>
            <w:tcW w:w="272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A5D43">
        <w:trPr>
          <w:trHeight w:val="1"/>
        </w:trPr>
        <w:tc>
          <w:tcPr>
            <w:tcW w:w="272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A5D43">
        <w:trPr>
          <w:trHeight w:val="1"/>
        </w:trPr>
        <w:tc>
          <w:tcPr>
            <w:tcW w:w="272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5"/>
        <w:gridCol w:w="295"/>
        <w:gridCol w:w="256"/>
        <w:gridCol w:w="849"/>
        <w:gridCol w:w="295"/>
        <w:gridCol w:w="178"/>
        <w:gridCol w:w="226"/>
        <w:gridCol w:w="1417"/>
        <w:gridCol w:w="254"/>
        <w:gridCol w:w="195"/>
        <w:gridCol w:w="224"/>
        <w:gridCol w:w="222"/>
        <w:gridCol w:w="193"/>
        <w:gridCol w:w="221"/>
        <w:gridCol w:w="196"/>
        <w:gridCol w:w="323"/>
        <w:gridCol w:w="193"/>
        <w:gridCol w:w="211"/>
        <w:gridCol w:w="284"/>
        <w:gridCol w:w="233"/>
        <w:gridCol w:w="242"/>
        <w:gridCol w:w="208"/>
        <w:gridCol w:w="341"/>
        <w:gridCol w:w="396"/>
        <w:gridCol w:w="216"/>
      </w:tblGrid>
      <w:tr w:rsidR="00BA5D43">
        <w:trPr>
          <w:trHeight w:val="1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Приложение:</w:t>
            </w:r>
          </w:p>
        </w:tc>
        <w:tc>
          <w:tcPr>
            <w:tcW w:w="7481" w:type="dxa"/>
            <w:gridSpan w:val="1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</w:t>
            </w:r>
          </w:p>
        </w:tc>
        <w:tc>
          <w:tcPr>
            <w:tcW w:w="2302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листах.</w:t>
            </w:r>
          </w:p>
        </w:tc>
      </w:tr>
      <w:tr w:rsidR="00BA5D43">
        <w:trPr>
          <w:trHeight w:val="1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481" w:type="dxa"/>
            <w:gridSpan w:val="1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(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наименование документа)</w:t>
            </w:r>
          </w:p>
        </w:tc>
        <w:tc>
          <w:tcPr>
            <w:tcW w:w="72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5D43">
        <w:trPr>
          <w:gridAfter w:val="1"/>
          <w:wAfter w:w="256" w:type="dxa"/>
          <w:trHeight w:val="1"/>
        </w:trPr>
        <w:tc>
          <w:tcPr>
            <w:tcW w:w="272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Лицо, представившее уведомление</w:t>
            </w:r>
          </w:p>
        </w:tc>
        <w:tc>
          <w:tcPr>
            <w:tcW w:w="166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67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617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A5D43">
        <w:trPr>
          <w:gridAfter w:val="1"/>
          <w:wAfter w:w="256" w:type="dxa"/>
          <w:trHeight w:val="1"/>
        </w:trPr>
        <w:tc>
          <w:tcPr>
            <w:tcW w:w="272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16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(подпись)</w:t>
            </w:r>
          </w:p>
        </w:tc>
        <w:tc>
          <w:tcPr>
            <w:tcW w:w="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(расшифровка подписи)</w:t>
            </w:r>
          </w:p>
        </w:tc>
        <w:tc>
          <w:tcPr>
            <w:tcW w:w="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7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1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5D43">
        <w:trPr>
          <w:gridAfter w:val="2"/>
          <w:wAfter w:w="652" w:type="dxa"/>
          <w:trHeight w:val="1"/>
        </w:trPr>
        <w:tc>
          <w:tcPr>
            <w:tcW w:w="232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Лицо, принявшее уведомление</w:t>
            </w:r>
          </w:p>
        </w:tc>
        <w:tc>
          <w:tcPr>
            <w:tcW w:w="141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5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3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г.</w:t>
            </w:r>
          </w:p>
        </w:tc>
      </w:tr>
      <w:tr w:rsidR="00BA5D43">
        <w:trPr>
          <w:gridAfter w:val="2"/>
          <w:wAfter w:w="652" w:type="dxa"/>
          <w:trHeight w:val="1"/>
        </w:trPr>
        <w:tc>
          <w:tcPr>
            <w:tcW w:w="232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(подпись)</w:t>
            </w:r>
          </w:p>
        </w:tc>
        <w:tc>
          <w:tcPr>
            <w:tcW w:w="3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(расшифровка подписи)</w:t>
            </w:r>
          </w:p>
        </w:tc>
        <w:tc>
          <w:tcPr>
            <w:tcW w:w="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5D43" w:rsidRDefault="00CE0E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Регистрационный номер в журнале регистрации уведомлений _________</w:t>
      </w:r>
    </w:p>
    <w:p w:rsidR="00BA5D43" w:rsidRDefault="00BA5D43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397"/>
        <w:gridCol w:w="255"/>
        <w:gridCol w:w="1531"/>
        <w:gridCol w:w="397"/>
        <w:gridCol w:w="369"/>
        <w:gridCol w:w="397"/>
      </w:tblGrid>
      <w:tr w:rsidR="00BA5D43">
        <w:trPr>
          <w:trHeight w:val="1"/>
        </w:trPr>
        <w:tc>
          <w:tcPr>
            <w:tcW w:w="5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3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BA5D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BA5D43" w:rsidRDefault="00CE0E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г.</w:t>
            </w:r>
          </w:p>
        </w:tc>
      </w:tr>
    </w:tbl>
    <w:p w:rsidR="00BA5D43" w:rsidRDefault="00CE0EFB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  <w:vertAlign w:val="superscript"/>
        </w:rPr>
        <w:t>*</w:t>
      </w:r>
      <w:r>
        <w:rPr>
          <w:rFonts w:ascii="Calibri" w:eastAsia="Calibri" w:hAnsi="Calibri" w:cs="Calibri"/>
          <w:sz w:val="20"/>
        </w:rPr>
        <w:t xml:space="preserve"> Заполняется при наличии документов, подтверждающих стоимость подарка.</w:t>
      </w:r>
    </w:p>
    <w:p w:rsidR="00BA5D43" w:rsidRDefault="00BA5D43">
      <w:pPr>
        <w:spacing w:after="200" w:line="276" w:lineRule="auto"/>
        <w:rPr>
          <w:rFonts w:ascii="Calibri" w:eastAsia="Calibri" w:hAnsi="Calibri" w:cs="Calibri"/>
        </w:rPr>
      </w:pPr>
    </w:p>
    <w:sectPr w:rsidR="00BA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5D43"/>
    <w:rsid w:val="0014011F"/>
    <w:rsid w:val="00BA5D43"/>
    <w:rsid w:val="00C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21BA"/>
  <w15:docId w15:val="{A41C6BC5-084D-40E5-BE8B-DC3DCE40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5" Type="http://schemas.openxmlformats.org/officeDocument/2006/relationships/hyperlink" Target="file: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4" Type="http://schemas.openxmlformats.org/officeDocument/2006/relationships/hyperlink" Target="file: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2044</Words>
  <Characters>11651</Characters>
  <Application>Microsoft Office Word</Application>
  <DocSecurity>0</DocSecurity>
  <Lines>97</Lines>
  <Paragraphs>27</Paragraphs>
  <ScaleCrop>false</ScaleCrop>
  <Company/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Бухгалтерия</cp:lastModifiedBy>
  <cp:revision>5</cp:revision>
  <dcterms:created xsi:type="dcterms:W3CDTF">2018-07-25T05:37:00Z</dcterms:created>
  <dcterms:modified xsi:type="dcterms:W3CDTF">2018-07-26T11:35:00Z</dcterms:modified>
</cp:coreProperties>
</file>